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66C45" w14:textId="77777777" w:rsidR="00453EED" w:rsidRDefault="00453EED"/>
    <w:p w14:paraId="1D448868" w14:textId="77777777" w:rsidR="00934117" w:rsidRDefault="00453EED">
      <w:r w:rsidRPr="00CD121A">
        <w:rPr>
          <w:rFonts w:ascii="Gill Sans MT" w:hAnsi="Gill Sans MT"/>
          <w:b/>
          <w:bCs/>
          <w:noProof/>
          <w:color w:val="800080"/>
          <w:w w:val="120"/>
          <w:sz w:val="32"/>
          <w:szCs w:val="32"/>
          <w:lang w:val="en-GB" w:eastAsia="zh-CN"/>
        </w:rPr>
        <w:drawing>
          <wp:inline distT="0" distB="0" distL="0" distR="0" wp14:anchorId="589596C0" wp14:editId="7DC52FDE">
            <wp:extent cx="1823720" cy="714977"/>
            <wp:effectExtent l="0" t="0" r="5080" b="0"/>
            <wp:docPr id="9" name="Picture 9" descr="Songlogo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g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642" cy="715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1C27D" w14:textId="74750BE9" w:rsidR="00453EED" w:rsidRPr="004577ED" w:rsidRDefault="00453EED" w:rsidP="004577ED">
      <w:pPr>
        <w:spacing w:before="100" w:beforeAutospacing="1"/>
        <w:jc w:val="center"/>
        <w:rPr>
          <w:b/>
        </w:rPr>
      </w:pPr>
      <w:r w:rsidRPr="004577ED">
        <w:rPr>
          <w:b/>
        </w:rPr>
        <w:t>Healthy Body Healthy Mind; is it all between the ears?</w:t>
      </w:r>
      <w:r w:rsidR="00C03F87" w:rsidRPr="004577ED">
        <w:rPr>
          <w:b/>
        </w:rPr>
        <w:t xml:space="preserve">                           </w:t>
      </w:r>
      <w:r w:rsidRPr="004577ED">
        <w:rPr>
          <w:b/>
        </w:rPr>
        <w:t>Thursday September 19</w:t>
      </w:r>
      <w:r w:rsidRPr="004577ED">
        <w:rPr>
          <w:b/>
          <w:vertAlign w:val="superscript"/>
        </w:rPr>
        <w:t>th</w:t>
      </w:r>
      <w:r w:rsidRPr="004577ED">
        <w:rPr>
          <w:b/>
        </w:rPr>
        <w:t>, Avenue Campus, University of Southampton</w:t>
      </w:r>
    </w:p>
    <w:tbl>
      <w:tblPr>
        <w:tblStyle w:val="TableGrid"/>
        <w:tblpPr w:leftFromText="180" w:rightFromText="180" w:vertAnchor="page" w:horzAnchor="page" w:tblpX="829" w:tblpY="4141"/>
        <w:tblW w:w="10614" w:type="dxa"/>
        <w:tblLook w:val="04A0" w:firstRow="1" w:lastRow="0" w:firstColumn="1" w:lastColumn="0" w:noHBand="0" w:noVBand="1"/>
      </w:tblPr>
      <w:tblGrid>
        <w:gridCol w:w="1526"/>
        <w:gridCol w:w="9088"/>
      </w:tblGrid>
      <w:tr w:rsidR="00C03F87" w14:paraId="0745A397" w14:textId="77777777" w:rsidTr="003C3E64">
        <w:trPr>
          <w:trHeight w:val="416"/>
        </w:trPr>
        <w:tc>
          <w:tcPr>
            <w:tcW w:w="1526" w:type="dxa"/>
          </w:tcPr>
          <w:p w14:paraId="3B37968C" w14:textId="77777777" w:rsidR="00C03F87" w:rsidRDefault="00C03F87" w:rsidP="003C3E64">
            <w:r>
              <w:t>0900-0930</w:t>
            </w:r>
          </w:p>
        </w:tc>
        <w:tc>
          <w:tcPr>
            <w:tcW w:w="9088" w:type="dxa"/>
          </w:tcPr>
          <w:p w14:paraId="6DF91272" w14:textId="77777777" w:rsidR="00C03F87" w:rsidRPr="009E6ED7" w:rsidRDefault="00C03F87" w:rsidP="003C3E64">
            <w:pPr>
              <w:rPr>
                <w:b/>
              </w:rPr>
            </w:pPr>
            <w:r w:rsidRPr="009E6ED7">
              <w:rPr>
                <w:b/>
              </w:rPr>
              <w:t>Registration and Coffee</w:t>
            </w:r>
          </w:p>
        </w:tc>
      </w:tr>
      <w:tr w:rsidR="00C03F87" w14:paraId="529B7C30" w14:textId="77777777" w:rsidTr="003C3E64">
        <w:trPr>
          <w:trHeight w:val="265"/>
        </w:trPr>
        <w:tc>
          <w:tcPr>
            <w:tcW w:w="1526" w:type="dxa"/>
          </w:tcPr>
          <w:p w14:paraId="73CC7221" w14:textId="77777777" w:rsidR="00C03F87" w:rsidRDefault="00C03F87" w:rsidP="003C3E64">
            <w:r>
              <w:t>0930-0940</w:t>
            </w:r>
          </w:p>
        </w:tc>
        <w:tc>
          <w:tcPr>
            <w:tcW w:w="9088" w:type="dxa"/>
          </w:tcPr>
          <w:p w14:paraId="0570C753" w14:textId="3465F67D" w:rsidR="00C03F87" w:rsidRDefault="00C03F87" w:rsidP="00684583">
            <w:r w:rsidRPr="00CD121A">
              <w:t>Welcome and Introduction</w:t>
            </w:r>
            <w:r>
              <w:t xml:space="preserve"> </w:t>
            </w:r>
            <w:r w:rsidR="003C3E64">
              <w:t>–</w:t>
            </w:r>
            <w:r w:rsidRPr="00CD121A">
              <w:t xml:space="preserve"> </w:t>
            </w:r>
            <w:r w:rsidR="00684583">
              <w:t>Vincent O’Connor</w:t>
            </w:r>
          </w:p>
        </w:tc>
      </w:tr>
      <w:tr w:rsidR="00C03F87" w14:paraId="35CAA916" w14:textId="77777777" w:rsidTr="003C3E64">
        <w:trPr>
          <w:trHeight w:val="297"/>
        </w:trPr>
        <w:tc>
          <w:tcPr>
            <w:tcW w:w="1526" w:type="dxa"/>
          </w:tcPr>
          <w:p w14:paraId="0714ACEE" w14:textId="3A07BD0D" w:rsidR="00C03F87" w:rsidRDefault="00C03F87" w:rsidP="003C3E64">
            <w:r>
              <w:t>Chair</w:t>
            </w:r>
          </w:p>
        </w:tc>
        <w:tc>
          <w:tcPr>
            <w:tcW w:w="9088" w:type="dxa"/>
          </w:tcPr>
          <w:p w14:paraId="436932B2" w14:textId="71396C0E" w:rsidR="00C03F87" w:rsidRDefault="00DA3DE2" w:rsidP="003C3E64">
            <w:r>
              <w:rPr>
                <w:bCs/>
                <w:iCs/>
              </w:rPr>
              <w:t>Professor Lindy Holden-Dye</w:t>
            </w:r>
          </w:p>
        </w:tc>
      </w:tr>
      <w:tr w:rsidR="003C3E64" w14:paraId="4C10563E" w14:textId="77777777" w:rsidTr="003C3E64">
        <w:trPr>
          <w:trHeight w:val="816"/>
        </w:trPr>
        <w:tc>
          <w:tcPr>
            <w:tcW w:w="1526" w:type="dxa"/>
          </w:tcPr>
          <w:p w14:paraId="39FC6031" w14:textId="77777777" w:rsidR="003C3E64" w:rsidRDefault="003C3E64" w:rsidP="003C3E64"/>
          <w:p w14:paraId="2202F8B1" w14:textId="77777777" w:rsidR="003C3E64" w:rsidRDefault="003C3E64" w:rsidP="003C3E64"/>
          <w:p w14:paraId="55FE9019" w14:textId="670B5D50" w:rsidR="003C3E64" w:rsidRDefault="003C3E64" w:rsidP="003C3E64">
            <w:r>
              <w:t>0940-1005</w:t>
            </w:r>
          </w:p>
        </w:tc>
        <w:tc>
          <w:tcPr>
            <w:tcW w:w="9088" w:type="dxa"/>
          </w:tcPr>
          <w:p w14:paraId="360851E4" w14:textId="77777777" w:rsidR="003C3E64" w:rsidRPr="00453EED" w:rsidRDefault="003C3E64" w:rsidP="003C3E64">
            <w:pPr>
              <w:rPr>
                <w:b/>
              </w:rPr>
            </w:pPr>
            <w:r w:rsidRPr="00453EED">
              <w:rPr>
                <w:b/>
                <w:i/>
              </w:rPr>
              <w:t>“Neuroinflammatory and behavioural changes induced by a systemic bacterial infection”</w:t>
            </w:r>
          </w:p>
          <w:p w14:paraId="21EAE999" w14:textId="783A5770" w:rsidR="003C3E64" w:rsidRDefault="003C3E64" w:rsidP="003C3E64">
            <w:pPr>
              <w:rPr>
                <w:bCs/>
                <w:iCs/>
              </w:rPr>
            </w:pPr>
            <w:r>
              <w:t>Ursula Puentener – Centre for Biological Sciences</w:t>
            </w:r>
          </w:p>
        </w:tc>
      </w:tr>
      <w:tr w:rsidR="00C03F87" w14:paraId="3CC238B1" w14:textId="77777777" w:rsidTr="003C3E64">
        <w:trPr>
          <w:trHeight w:val="960"/>
        </w:trPr>
        <w:tc>
          <w:tcPr>
            <w:tcW w:w="1526" w:type="dxa"/>
          </w:tcPr>
          <w:p w14:paraId="464C6BFC" w14:textId="77777777" w:rsidR="00C03F87" w:rsidRDefault="00C03F87" w:rsidP="003C3E64">
            <w:r>
              <w:t>1005-1030</w:t>
            </w:r>
          </w:p>
        </w:tc>
        <w:tc>
          <w:tcPr>
            <w:tcW w:w="9088" w:type="dxa"/>
          </w:tcPr>
          <w:p w14:paraId="7CD7720B" w14:textId="77777777" w:rsidR="00C03F87" w:rsidRPr="00453EED" w:rsidRDefault="00C03F87" w:rsidP="003C3E64">
            <w:pPr>
              <w:rPr>
                <w:b/>
              </w:rPr>
            </w:pPr>
            <w:r w:rsidRPr="00453EED">
              <w:rPr>
                <w:b/>
              </w:rPr>
              <w:t>“</w:t>
            </w:r>
            <w:r w:rsidRPr="00453EED">
              <w:rPr>
                <w:b/>
                <w:i/>
                <w:iCs/>
              </w:rPr>
              <w:t>The causes and Consequences of the Regulation of Protein Synthesis at the Elongation Phase in Cortical Neurons</w:t>
            </w:r>
            <w:r w:rsidRPr="00453EED">
              <w:rPr>
                <w:b/>
              </w:rPr>
              <w:t>”.</w:t>
            </w:r>
          </w:p>
          <w:p w14:paraId="703F057B" w14:textId="77777777" w:rsidR="00C03F87" w:rsidRDefault="00C03F87" w:rsidP="003C3E64">
            <w:r>
              <w:t>Justin Kenney – Centre for Biological Sciences</w:t>
            </w:r>
          </w:p>
        </w:tc>
      </w:tr>
      <w:tr w:rsidR="00C03F87" w14:paraId="372006CE" w14:textId="77777777" w:rsidTr="003C3E64">
        <w:trPr>
          <w:trHeight w:val="549"/>
        </w:trPr>
        <w:tc>
          <w:tcPr>
            <w:tcW w:w="1526" w:type="dxa"/>
          </w:tcPr>
          <w:p w14:paraId="327B7779" w14:textId="77777777" w:rsidR="00C03F87" w:rsidRDefault="00C03F87" w:rsidP="003C3E64">
            <w:r>
              <w:t>1030-1050</w:t>
            </w:r>
          </w:p>
        </w:tc>
        <w:tc>
          <w:tcPr>
            <w:tcW w:w="9088" w:type="dxa"/>
          </w:tcPr>
          <w:p w14:paraId="45A32976" w14:textId="77777777" w:rsidR="00C03F87" w:rsidRPr="009E6ED7" w:rsidRDefault="00C03F87" w:rsidP="003C3E64">
            <w:pPr>
              <w:rPr>
                <w:b/>
                <w:i/>
              </w:rPr>
            </w:pPr>
            <w:r w:rsidRPr="009E6ED7">
              <w:rPr>
                <w:b/>
                <w:i/>
              </w:rPr>
              <w:t xml:space="preserve">“Food deprivation in </w:t>
            </w:r>
            <w:r w:rsidRPr="009E6ED7">
              <w:rPr>
                <w:b/>
                <w:i/>
                <w:iCs/>
              </w:rPr>
              <w:t>Caenorhabditis elegans</w:t>
            </w:r>
            <w:r w:rsidRPr="009E6ED7">
              <w:rPr>
                <w:b/>
                <w:i/>
              </w:rPr>
              <w:t xml:space="preserve"> reveals peripheral regulation of feeding behaviour independent of central integration of sensory cues”.</w:t>
            </w:r>
          </w:p>
          <w:p w14:paraId="1F7A6FCE" w14:textId="77777777" w:rsidR="00C03F87" w:rsidRDefault="00C03F87" w:rsidP="003C3E64">
            <w:r w:rsidRPr="00275064">
              <w:rPr>
                <w:lang w:val="en-GB"/>
              </w:rPr>
              <w:t>Nicolas Dallière</w:t>
            </w:r>
            <w:r>
              <w:rPr>
                <w:lang w:val="en-GB"/>
              </w:rPr>
              <w:t xml:space="preserve"> </w:t>
            </w:r>
            <w:r>
              <w:t>– Centre for Biological Sciences</w:t>
            </w:r>
          </w:p>
        </w:tc>
      </w:tr>
      <w:tr w:rsidR="00C03F87" w14:paraId="6938D33E" w14:textId="77777777" w:rsidTr="003C3E64">
        <w:trPr>
          <w:trHeight w:val="253"/>
        </w:trPr>
        <w:tc>
          <w:tcPr>
            <w:tcW w:w="1526" w:type="dxa"/>
          </w:tcPr>
          <w:p w14:paraId="5DCE8DD0" w14:textId="77777777" w:rsidR="00C03F87" w:rsidRDefault="00C03F87" w:rsidP="003C3E64">
            <w:r>
              <w:t>1050-1120</w:t>
            </w:r>
          </w:p>
        </w:tc>
        <w:tc>
          <w:tcPr>
            <w:tcW w:w="9088" w:type="dxa"/>
          </w:tcPr>
          <w:p w14:paraId="5B79C2F3" w14:textId="77777777" w:rsidR="00C03F87" w:rsidRDefault="00C03F87" w:rsidP="003C3E64">
            <w:r>
              <w:t>Break for refreshments</w:t>
            </w:r>
          </w:p>
        </w:tc>
      </w:tr>
      <w:tr w:rsidR="00C03F87" w14:paraId="0F33187C" w14:textId="77777777" w:rsidTr="003C3E64">
        <w:trPr>
          <w:trHeight w:val="252"/>
        </w:trPr>
        <w:tc>
          <w:tcPr>
            <w:tcW w:w="1526" w:type="dxa"/>
          </w:tcPr>
          <w:p w14:paraId="759ABB5D" w14:textId="5F859B07" w:rsidR="00C03F87" w:rsidRDefault="00C03F87" w:rsidP="003C3E64">
            <w:r>
              <w:t>Chair</w:t>
            </w:r>
          </w:p>
        </w:tc>
        <w:tc>
          <w:tcPr>
            <w:tcW w:w="9088" w:type="dxa"/>
          </w:tcPr>
          <w:p w14:paraId="78CDEE12" w14:textId="041FEBF2" w:rsidR="00C03F87" w:rsidRDefault="00DA3DE2" w:rsidP="003C3E64">
            <w:r>
              <w:t>Dr Graeme Fairchild</w:t>
            </w:r>
          </w:p>
        </w:tc>
      </w:tr>
      <w:tr w:rsidR="003C3E64" w14:paraId="5F81B1B7" w14:textId="77777777" w:rsidTr="003C3E64">
        <w:trPr>
          <w:trHeight w:val="672"/>
        </w:trPr>
        <w:tc>
          <w:tcPr>
            <w:tcW w:w="1526" w:type="dxa"/>
          </w:tcPr>
          <w:p w14:paraId="36A1B4F3" w14:textId="583760B3" w:rsidR="003C3E64" w:rsidRDefault="003C3E64" w:rsidP="003C3E64">
            <w:r>
              <w:t>1120-1140</w:t>
            </w:r>
          </w:p>
        </w:tc>
        <w:tc>
          <w:tcPr>
            <w:tcW w:w="9088" w:type="dxa"/>
          </w:tcPr>
          <w:p w14:paraId="07A753E9" w14:textId="77777777" w:rsidR="003C3E64" w:rsidRPr="009E6ED7" w:rsidRDefault="003C3E64" w:rsidP="003C3E64">
            <w:pPr>
              <w:rPr>
                <w:b/>
                <w:i/>
              </w:rPr>
            </w:pPr>
            <w:r w:rsidRPr="009E6ED7">
              <w:rPr>
                <w:b/>
                <w:i/>
              </w:rPr>
              <w:t>“The link between inflammaging and age-related hearing loss”.</w:t>
            </w:r>
          </w:p>
          <w:p w14:paraId="74A7AC16" w14:textId="394AC2CC" w:rsidR="003C3E64" w:rsidRDefault="003C3E64" w:rsidP="003C3E64">
            <w:r>
              <w:t>Akosua Agyemang-Premepeh, Medicine</w:t>
            </w:r>
          </w:p>
        </w:tc>
      </w:tr>
      <w:tr w:rsidR="00C03F87" w14:paraId="1F5B2CF2" w14:textId="77777777" w:rsidTr="003C3E64">
        <w:trPr>
          <w:trHeight w:val="549"/>
        </w:trPr>
        <w:tc>
          <w:tcPr>
            <w:tcW w:w="1526" w:type="dxa"/>
          </w:tcPr>
          <w:p w14:paraId="2C2BCD86" w14:textId="77777777" w:rsidR="00C03F87" w:rsidRDefault="00C03F87" w:rsidP="003C3E64">
            <w:r>
              <w:t>1140-1205</w:t>
            </w:r>
          </w:p>
        </w:tc>
        <w:tc>
          <w:tcPr>
            <w:tcW w:w="9088" w:type="dxa"/>
          </w:tcPr>
          <w:p w14:paraId="27784F18" w14:textId="77777777" w:rsidR="00C03F87" w:rsidRPr="003C3E64" w:rsidRDefault="00C03F87" w:rsidP="003C3E64">
            <w:pPr>
              <w:rPr>
                <w:b/>
                <w:bCs/>
                <w:i/>
              </w:rPr>
            </w:pPr>
            <w:r w:rsidRPr="003C3E64">
              <w:rPr>
                <w:b/>
                <w:bCs/>
              </w:rPr>
              <w:t>“</w:t>
            </w:r>
            <w:r w:rsidRPr="003C3E64">
              <w:rPr>
                <w:b/>
                <w:bCs/>
                <w:i/>
              </w:rPr>
              <w:t>Altered Neural Response to Vocal Anger Processing in Attention Deficit/-Hyperactivity Disorder”.</w:t>
            </w:r>
          </w:p>
          <w:p w14:paraId="4D7F1526" w14:textId="77777777" w:rsidR="00C03F87" w:rsidRDefault="00C03F87" w:rsidP="003C3E64">
            <w:r>
              <w:t>Georgia Chronaki, Psychology</w:t>
            </w:r>
          </w:p>
        </w:tc>
      </w:tr>
      <w:tr w:rsidR="00C03F87" w14:paraId="384C8163" w14:textId="77777777" w:rsidTr="003C3E64">
        <w:trPr>
          <w:trHeight w:val="549"/>
        </w:trPr>
        <w:tc>
          <w:tcPr>
            <w:tcW w:w="1526" w:type="dxa"/>
          </w:tcPr>
          <w:p w14:paraId="07D8071A" w14:textId="77777777" w:rsidR="00C03F87" w:rsidRDefault="00C03F87" w:rsidP="003C3E64"/>
          <w:p w14:paraId="059512FE" w14:textId="77777777" w:rsidR="00C03F87" w:rsidRDefault="00C03F87" w:rsidP="003C3E64">
            <w:r>
              <w:t>1205-1245</w:t>
            </w:r>
          </w:p>
        </w:tc>
        <w:tc>
          <w:tcPr>
            <w:tcW w:w="9088" w:type="dxa"/>
          </w:tcPr>
          <w:p w14:paraId="430643A2" w14:textId="77777777" w:rsidR="00C03F87" w:rsidRPr="00C03F87" w:rsidRDefault="00C03F87" w:rsidP="003C3E64">
            <w:pPr>
              <w:rPr>
                <w:b/>
                <w:i/>
              </w:rPr>
            </w:pPr>
            <w:r w:rsidRPr="00C03F87">
              <w:rPr>
                <w:rFonts w:eastAsia="Times New Roman" w:cs="Tahoma"/>
                <w:b/>
                <w:i/>
                <w:color w:val="000000"/>
              </w:rPr>
              <w:t>"Heartfelt emotions and visceral fear"</w:t>
            </w:r>
          </w:p>
          <w:p w14:paraId="625D81E1" w14:textId="4B48F381" w:rsidR="00C03F87" w:rsidRDefault="00452C99" w:rsidP="003C3E64">
            <w:r>
              <w:rPr>
                <w:b/>
              </w:rPr>
              <w:t xml:space="preserve">Invited external speaker - </w:t>
            </w:r>
            <w:r w:rsidR="00C03F87" w:rsidRPr="00DD10F3">
              <w:rPr>
                <w:b/>
              </w:rPr>
              <w:t>Professor Hugo D. Critchley</w:t>
            </w:r>
            <w:r w:rsidR="00C03F87">
              <w:rPr>
                <w:b/>
              </w:rPr>
              <w:t xml:space="preserve">, </w:t>
            </w:r>
            <w:r w:rsidR="00C03F87" w:rsidRPr="00DD10F3">
              <w:rPr>
                <w:b/>
              </w:rPr>
              <w:t>MBChB DPhil FRCPsych</w:t>
            </w:r>
          </w:p>
        </w:tc>
      </w:tr>
      <w:tr w:rsidR="00C03F87" w14:paraId="75DDA762" w14:textId="77777777" w:rsidTr="003C3E64">
        <w:trPr>
          <w:trHeight w:val="412"/>
        </w:trPr>
        <w:tc>
          <w:tcPr>
            <w:tcW w:w="1526" w:type="dxa"/>
          </w:tcPr>
          <w:p w14:paraId="6A0C74F9" w14:textId="77777777" w:rsidR="00C03F87" w:rsidRDefault="00C03F87" w:rsidP="003C3E64">
            <w:r>
              <w:t>1245-1400</w:t>
            </w:r>
          </w:p>
        </w:tc>
        <w:tc>
          <w:tcPr>
            <w:tcW w:w="9088" w:type="dxa"/>
          </w:tcPr>
          <w:p w14:paraId="7AF075A1" w14:textId="77777777" w:rsidR="00C03F87" w:rsidRDefault="00C03F87" w:rsidP="003C3E64">
            <w:pPr>
              <w:rPr>
                <w:i/>
              </w:rPr>
            </w:pPr>
            <w:r>
              <w:rPr>
                <w:rFonts w:eastAsia="Times New Roman" w:cs="Tahoma"/>
                <w:color w:val="000000"/>
              </w:rPr>
              <w:t>Lunch and Poster session</w:t>
            </w:r>
          </w:p>
        </w:tc>
      </w:tr>
      <w:tr w:rsidR="00C03F87" w14:paraId="27A66925" w14:textId="77777777" w:rsidTr="003C3E64">
        <w:trPr>
          <w:trHeight w:val="276"/>
        </w:trPr>
        <w:tc>
          <w:tcPr>
            <w:tcW w:w="1526" w:type="dxa"/>
          </w:tcPr>
          <w:p w14:paraId="43A7C53B" w14:textId="34B6787E" w:rsidR="00C03F87" w:rsidRDefault="00C03F87" w:rsidP="003C3E64">
            <w:r>
              <w:t>Chair</w:t>
            </w:r>
          </w:p>
        </w:tc>
        <w:tc>
          <w:tcPr>
            <w:tcW w:w="9088" w:type="dxa"/>
          </w:tcPr>
          <w:p w14:paraId="27FCC88C" w14:textId="63BC93A9" w:rsidR="00C03F87" w:rsidRDefault="00C03F87" w:rsidP="003C3E64">
            <w:r>
              <w:t>Professor Peter Smith, Director of Institute for Life Sciences</w:t>
            </w:r>
          </w:p>
        </w:tc>
      </w:tr>
      <w:tr w:rsidR="003C3E64" w14:paraId="5655CBAE" w14:textId="77777777" w:rsidTr="003C3E64">
        <w:trPr>
          <w:trHeight w:val="276"/>
        </w:trPr>
        <w:tc>
          <w:tcPr>
            <w:tcW w:w="1526" w:type="dxa"/>
          </w:tcPr>
          <w:p w14:paraId="62AEA08F" w14:textId="3473BB90" w:rsidR="003C3E64" w:rsidRDefault="003C3E64" w:rsidP="003C3E64">
            <w:r>
              <w:t>1400-1420</w:t>
            </w:r>
          </w:p>
        </w:tc>
        <w:tc>
          <w:tcPr>
            <w:tcW w:w="9088" w:type="dxa"/>
          </w:tcPr>
          <w:p w14:paraId="0B71C57E" w14:textId="7EDDF9D4" w:rsidR="003C3E64" w:rsidRDefault="003C3E64" w:rsidP="003C3E64">
            <w:pPr>
              <w:rPr>
                <w:b/>
                <w:bCs/>
              </w:rPr>
            </w:pPr>
            <w:r>
              <w:t>“</w:t>
            </w:r>
            <w:r>
              <w:rPr>
                <w:b/>
                <w:bCs/>
              </w:rPr>
              <w:t>Regional difference in the perivascular drainage of Aβ from the ageing mouse brain</w:t>
            </w:r>
            <w:r w:rsidR="00D3480A">
              <w:rPr>
                <w:b/>
                <w:bCs/>
              </w:rPr>
              <w:t>”</w:t>
            </w:r>
            <w:r>
              <w:rPr>
                <w:b/>
                <w:bCs/>
              </w:rPr>
              <w:t>.</w:t>
            </w:r>
            <w:bookmarkStart w:id="0" w:name="_GoBack"/>
            <w:bookmarkEnd w:id="0"/>
          </w:p>
          <w:p w14:paraId="605274C0" w14:textId="1A97C0C1" w:rsidR="003C3E64" w:rsidRPr="003C3E64" w:rsidRDefault="003C3E64" w:rsidP="003C3E64">
            <w:r>
              <w:t>Cheryl Hawkes, Faculty of Medicine</w:t>
            </w:r>
          </w:p>
        </w:tc>
      </w:tr>
      <w:tr w:rsidR="003C3E64" w14:paraId="0F80F956" w14:textId="77777777" w:rsidTr="003C3E64">
        <w:trPr>
          <w:trHeight w:val="840"/>
        </w:trPr>
        <w:tc>
          <w:tcPr>
            <w:tcW w:w="1526" w:type="dxa"/>
          </w:tcPr>
          <w:p w14:paraId="66071C9A" w14:textId="26B2208E" w:rsidR="003C3E64" w:rsidRDefault="003C3E64" w:rsidP="003C3E64">
            <w:r>
              <w:t>1420-1440</w:t>
            </w:r>
          </w:p>
        </w:tc>
        <w:tc>
          <w:tcPr>
            <w:tcW w:w="9088" w:type="dxa"/>
          </w:tcPr>
          <w:p w14:paraId="14B96A3B" w14:textId="77777777" w:rsidR="003C3E64" w:rsidRPr="003C3E64" w:rsidRDefault="003C3E64" w:rsidP="003C3E64">
            <w:pPr>
              <w:rPr>
                <w:b/>
                <w:bCs/>
                <w:i/>
              </w:rPr>
            </w:pPr>
            <w:r w:rsidRPr="003C3E64">
              <w:rPr>
                <w:b/>
                <w:bCs/>
                <w:i/>
              </w:rPr>
              <w:t>“Hyperclycemia increases amyloid accumulation and exacerbates cerebrovascular pathology in Alzheimer’s disease model animals”.</w:t>
            </w:r>
          </w:p>
          <w:p w14:paraId="39E1337C" w14:textId="282D0F9C" w:rsidR="003C3E64" w:rsidRDefault="003C3E64" w:rsidP="003C3E64">
            <w:r>
              <w:t>Ayodeji Asuni, Centre for Biological Sciences</w:t>
            </w:r>
          </w:p>
        </w:tc>
      </w:tr>
      <w:tr w:rsidR="00C03F87" w14:paraId="3A7B8416" w14:textId="77777777" w:rsidTr="003C3E64">
        <w:trPr>
          <w:trHeight w:val="407"/>
        </w:trPr>
        <w:tc>
          <w:tcPr>
            <w:tcW w:w="1526" w:type="dxa"/>
          </w:tcPr>
          <w:p w14:paraId="361C7274" w14:textId="77777777" w:rsidR="00C03F87" w:rsidRDefault="00C03F87" w:rsidP="003C3E64">
            <w:r>
              <w:t>1440-1520</w:t>
            </w:r>
          </w:p>
          <w:p w14:paraId="7C5FA6F3" w14:textId="77777777" w:rsidR="00C03F87" w:rsidRDefault="00C03F87" w:rsidP="003C3E64"/>
        </w:tc>
        <w:tc>
          <w:tcPr>
            <w:tcW w:w="9088" w:type="dxa"/>
          </w:tcPr>
          <w:p w14:paraId="7C94BE2C" w14:textId="77777777" w:rsidR="00C03F87" w:rsidRPr="00C03F87" w:rsidRDefault="00C03F87" w:rsidP="003C3E64">
            <w:pPr>
              <w:rPr>
                <w:rFonts w:eastAsia="Times New Roman" w:cs="Times New Roman"/>
                <w:b/>
                <w:i/>
              </w:rPr>
            </w:pPr>
            <w:r w:rsidRPr="00C03F87">
              <w:rPr>
                <w:rFonts w:eastAsia="Times New Roman" w:cs="Times New Roman"/>
                <w:b/>
                <w:i/>
              </w:rPr>
              <w:t>“Bench to bedside: using mouse models to identify new treatment approaches for Alzheimer's disease”</w:t>
            </w:r>
          </w:p>
          <w:p w14:paraId="71508E99" w14:textId="258DC846" w:rsidR="00C03F87" w:rsidRPr="006D6308" w:rsidRDefault="00452C99" w:rsidP="003C3E64">
            <w:pPr>
              <w:rPr>
                <w:rFonts w:eastAsia="Times New Roman" w:cs="Tahoma"/>
                <w:color w:val="000000"/>
              </w:rPr>
            </w:pPr>
            <w:r>
              <w:rPr>
                <w:rFonts w:cs="Arial"/>
                <w:b/>
                <w:color w:val="222222"/>
                <w:shd w:val="clear" w:color="auto" w:fill="FFFFFF"/>
                <w:lang w:val="en-GB"/>
              </w:rPr>
              <w:t>Invited external speaker -</w:t>
            </w:r>
            <w:r w:rsidR="00C03F87" w:rsidRPr="006D6308">
              <w:rPr>
                <w:rFonts w:cs="Arial"/>
                <w:b/>
                <w:color w:val="222222"/>
                <w:shd w:val="clear" w:color="auto" w:fill="FFFFFF"/>
                <w:lang w:val="en-GB"/>
              </w:rPr>
              <w:t>Masafumi Ihara, MD, PhD, FACP</w:t>
            </w:r>
          </w:p>
        </w:tc>
      </w:tr>
      <w:tr w:rsidR="00C03F87" w14:paraId="7FAE8139" w14:textId="77777777" w:rsidTr="003C3E64">
        <w:trPr>
          <w:trHeight w:val="238"/>
        </w:trPr>
        <w:tc>
          <w:tcPr>
            <w:tcW w:w="1526" w:type="dxa"/>
          </w:tcPr>
          <w:p w14:paraId="2F870740" w14:textId="77777777" w:rsidR="00C03F87" w:rsidRDefault="00C03F87" w:rsidP="003C3E64">
            <w:r>
              <w:t>1520-1550</w:t>
            </w:r>
          </w:p>
        </w:tc>
        <w:tc>
          <w:tcPr>
            <w:tcW w:w="9088" w:type="dxa"/>
          </w:tcPr>
          <w:p w14:paraId="6A2DF21F" w14:textId="77777777" w:rsidR="00C03F87" w:rsidRDefault="00C03F87" w:rsidP="003C3E64">
            <w:pPr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Break for refreshments</w:t>
            </w:r>
          </w:p>
        </w:tc>
      </w:tr>
      <w:tr w:rsidR="00C03F87" w14:paraId="009077E5" w14:textId="77777777" w:rsidTr="003C3E64">
        <w:trPr>
          <w:trHeight w:val="549"/>
        </w:trPr>
        <w:tc>
          <w:tcPr>
            <w:tcW w:w="1526" w:type="dxa"/>
          </w:tcPr>
          <w:p w14:paraId="64A07279" w14:textId="77777777" w:rsidR="00C03F87" w:rsidRDefault="00C03F87" w:rsidP="003C3E64">
            <w:r>
              <w:t>1550-1635</w:t>
            </w:r>
          </w:p>
        </w:tc>
        <w:tc>
          <w:tcPr>
            <w:tcW w:w="9088" w:type="dxa"/>
          </w:tcPr>
          <w:p w14:paraId="7A547514" w14:textId="77777777" w:rsidR="00C03F87" w:rsidRPr="00C03F87" w:rsidRDefault="00C03F87" w:rsidP="003C3E64">
            <w:pPr>
              <w:rPr>
                <w:rFonts w:eastAsia="Times New Roman" w:cs="Tahoma"/>
                <w:b/>
                <w:i/>
                <w:color w:val="000000"/>
              </w:rPr>
            </w:pPr>
            <w:r w:rsidRPr="00C03F87">
              <w:rPr>
                <w:rFonts w:eastAsia="Times New Roman" w:cs="Tahoma"/>
                <w:b/>
                <w:i/>
                <w:color w:val="000000"/>
              </w:rPr>
              <w:t>'Standing up for fatigue - the role of autonomic dysfunction in chronic fatigue syndrome'</w:t>
            </w:r>
          </w:p>
          <w:p w14:paraId="151C7A67" w14:textId="4FEBD66C" w:rsidR="00C03F87" w:rsidRDefault="00452C99" w:rsidP="003C3E64">
            <w:pPr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b/>
                <w:color w:val="000000"/>
              </w:rPr>
              <w:t xml:space="preserve">Invited external speaker - </w:t>
            </w:r>
            <w:r w:rsidR="00C03F87" w:rsidRPr="00C03F87">
              <w:rPr>
                <w:rFonts w:eastAsia="Times New Roman" w:cs="Tahoma"/>
                <w:b/>
                <w:color w:val="000000"/>
              </w:rPr>
              <w:t>Professor Julia Newton</w:t>
            </w:r>
          </w:p>
        </w:tc>
      </w:tr>
      <w:tr w:rsidR="00C03F87" w14:paraId="474553A1" w14:textId="77777777" w:rsidTr="003C3E64">
        <w:trPr>
          <w:trHeight w:val="549"/>
        </w:trPr>
        <w:tc>
          <w:tcPr>
            <w:tcW w:w="1526" w:type="dxa"/>
          </w:tcPr>
          <w:p w14:paraId="415441B1" w14:textId="77777777" w:rsidR="00C03F87" w:rsidRDefault="00C03F87" w:rsidP="003C3E64">
            <w:r>
              <w:t>1635-1700</w:t>
            </w:r>
          </w:p>
        </w:tc>
        <w:tc>
          <w:tcPr>
            <w:tcW w:w="9088" w:type="dxa"/>
          </w:tcPr>
          <w:p w14:paraId="5868F14D" w14:textId="77777777" w:rsidR="00C03F87" w:rsidRDefault="00C03F87" w:rsidP="003C3E64">
            <w:pPr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 xml:space="preserve">Closing remarks and Prizes followed by a drinks reception. </w:t>
            </w:r>
          </w:p>
          <w:p w14:paraId="4CFDFFA6" w14:textId="7DBECA1F" w:rsidR="00C03F87" w:rsidRDefault="00684583" w:rsidP="003C3E64">
            <w:pPr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Delphine Boche</w:t>
            </w:r>
            <w:r w:rsidR="00C03F87">
              <w:rPr>
                <w:rFonts w:eastAsia="Times New Roman" w:cs="Tahoma"/>
                <w:color w:val="000000"/>
              </w:rPr>
              <w:t xml:space="preserve"> and Peter Smith</w:t>
            </w:r>
          </w:p>
        </w:tc>
      </w:tr>
    </w:tbl>
    <w:p w14:paraId="7EADA28B" w14:textId="77777777" w:rsidR="006462FF" w:rsidRDefault="006462FF" w:rsidP="00452C99"/>
    <w:sectPr w:rsidR="006462FF" w:rsidSect="00934117"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8F5CC" w14:textId="77777777" w:rsidR="00420552" w:rsidRDefault="00420552" w:rsidP="004577ED">
      <w:r>
        <w:separator/>
      </w:r>
    </w:p>
  </w:endnote>
  <w:endnote w:type="continuationSeparator" w:id="0">
    <w:p w14:paraId="4D230922" w14:textId="77777777" w:rsidR="00420552" w:rsidRDefault="00420552" w:rsidP="0045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CFF3" w14:textId="77777777" w:rsidR="004577ED" w:rsidRPr="004577ED" w:rsidRDefault="004577ED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26E5E" w14:textId="77777777" w:rsidR="00420552" w:rsidRDefault="00420552" w:rsidP="004577ED">
      <w:r>
        <w:separator/>
      </w:r>
    </w:p>
  </w:footnote>
  <w:footnote w:type="continuationSeparator" w:id="0">
    <w:p w14:paraId="757049DD" w14:textId="77777777" w:rsidR="00420552" w:rsidRDefault="00420552" w:rsidP="0045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ED"/>
    <w:rsid w:val="003C3E64"/>
    <w:rsid w:val="00420552"/>
    <w:rsid w:val="00452C99"/>
    <w:rsid w:val="00453EED"/>
    <w:rsid w:val="004577ED"/>
    <w:rsid w:val="006462FF"/>
    <w:rsid w:val="00684583"/>
    <w:rsid w:val="008848B3"/>
    <w:rsid w:val="00934117"/>
    <w:rsid w:val="009E6ED7"/>
    <w:rsid w:val="00B3230B"/>
    <w:rsid w:val="00C03F87"/>
    <w:rsid w:val="00D3480A"/>
    <w:rsid w:val="00D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730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E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7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7ED"/>
  </w:style>
  <w:style w:type="paragraph" w:styleId="Footer">
    <w:name w:val="footer"/>
    <w:basedOn w:val="Normal"/>
    <w:link w:val="FooterChar"/>
    <w:uiPriority w:val="99"/>
    <w:unhideWhenUsed/>
    <w:rsid w:val="00457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7ED"/>
  </w:style>
  <w:style w:type="character" w:styleId="Hyperlink">
    <w:name w:val="Hyperlink"/>
    <w:basedOn w:val="DefaultParagraphFont"/>
    <w:uiPriority w:val="99"/>
    <w:unhideWhenUsed/>
    <w:rsid w:val="004577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7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E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7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7ED"/>
  </w:style>
  <w:style w:type="paragraph" w:styleId="Footer">
    <w:name w:val="footer"/>
    <w:basedOn w:val="Normal"/>
    <w:link w:val="FooterChar"/>
    <w:uiPriority w:val="99"/>
    <w:unhideWhenUsed/>
    <w:rsid w:val="00457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7ED"/>
  </w:style>
  <w:style w:type="character" w:styleId="Hyperlink">
    <w:name w:val="Hyperlink"/>
    <w:basedOn w:val="DefaultParagraphFont"/>
    <w:uiPriority w:val="99"/>
    <w:unhideWhenUsed/>
    <w:rsid w:val="004577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7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on.ac.uk/so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17C1-630B-4912-9756-03B29484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soton.ac.uk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 D.K.</dc:creator>
  <cp:lastModifiedBy>Buck D.K.</cp:lastModifiedBy>
  <cp:revision>6</cp:revision>
  <dcterms:created xsi:type="dcterms:W3CDTF">2013-09-09T11:05:00Z</dcterms:created>
  <dcterms:modified xsi:type="dcterms:W3CDTF">2013-09-09T11:15:00Z</dcterms:modified>
</cp:coreProperties>
</file>